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ro-RO"/>
              </w:rPr>
              <w:t xml:space="preserve">Guti Csaba: A </w:t>
            </w: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fából faragott szív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o, 4.o, 5.o ,6.o.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Times New Roman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Irodalom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"https://learningapps.org/display?v=pv24m7ci224"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https://learningapps.org/display?v=pv24m7ci224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5645"/>
    <w:rsid w:val="23FB7BBB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Lovasz Elisabeta</cp:lastModifiedBy>
  <dcterms:modified xsi:type="dcterms:W3CDTF">2024-04-05T17:18:17Z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C4989B00DA794F4E861A5A902E2C83AB_13</vt:lpwstr>
  </property>
</Properties>
</file>