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csostblzat"/>
        <w:tblpPr w:leftFromText="141" w:rightFromText="141" w:vertAnchor="page" w:horzAnchor="margin" w:tblpXSpec="center" w:tblpY="318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/>
      </w:tblPr>
      <w:tblGrid>
        <w:gridCol w:w="2287"/>
        <w:gridCol w:w="2268"/>
        <w:gridCol w:w="2268"/>
        <w:gridCol w:w="2350"/>
        <w:gridCol w:w="2268"/>
        <w:gridCol w:w="2268"/>
      </w:tblGrid>
      <w:tr w:rsidR="008C1311" w:rsidTr="0074576D">
        <w:trPr>
          <w:trHeight w:val="2268"/>
        </w:trPr>
        <w:tc>
          <w:tcPr>
            <w:tcW w:w="2287" w:type="dxa"/>
          </w:tcPr>
          <w:p w:rsidR="00173450" w:rsidRDefault="00173450" w:rsidP="0074576D">
            <w:pPr>
              <w:spacing w:before="120"/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1296000" cy="1260172"/>
                  <wp:effectExtent l="19050" t="0" r="0" b="0"/>
                  <wp:docPr id="65" name="Kép 1" descr="Képtalálat a következőre: „páfrányfenyő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őre: „páfrányfenyő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00" cy="1260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173450" w:rsidRPr="001B19BE" w:rsidRDefault="00173450" w:rsidP="0074576D">
            <w:pPr>
              <w:spacing w:before="24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páfrány-fenyő</w:t>
            </w:r>
          </w:p>
        </w:tc>
        <w:tc>
          <w:tcPr>
            <w:tcW w:w="2268" w:type="dxa"/>
            <w:tcBorders>
              <w:right w:val="single" w:sz="36" w:space="0" w:color="auto"/>
            </w:tcBorders>
          </w:tcPr>
          <w:p w:rsidR="00173450" w:rsidRDefault="00173450" w:rsidP="0074576D">
            <w:pPr>
              <w:spacing w:before="120"/>
              <w:ind w:right="63"/>
              <w:jc w:val="both"/>
            </w:pPr>
            <w:r w:rsidRPr="001F31C9">
              <w:t>Serkenti a vérára</w:t>
            </w:r>
            <w:r w:rsidRPr="001F31C9">
              <w:t>m</w:t>
            </w:r>
            <w:r w:rsidRPr="001F31C9">
              <w:t>lást az agyban, így javul az agy sejtjeinek ellátása tápanyago</w:t>
            </w:r>
            <w:r w:rsidRPr="001F31C9">
              <w:t>k</w:t>
            </w:r>
            <w:r w:rsidRPr="001F31C9">
              <w:t>kal, energiával, ami jobb memóriát, n</w:t>
            </w:r>
            <w:r w:rsidRPr="001F31C9">
              <w:t>a</w:t>
            </w:r>
            <w:r w:rsidRPr="001F31C9">
              <w:t>gyobb éberséget eredményez.</w:t>
            </w:r>
          </w:p>
        </w:tc>
        <w:tc>
          <w:tcPr>
            <w:tcW w:w="2350" w:type="dxa"/>
            <w:tcBorders>
              <w:left w:val="single" w:sz="36" w:space="0" w:color="auto"/>
            </w:tcBorders>
          </w:tcPr>
          <w:p w:rsidR="00173450" w:rsidRPr="00A219FE" w:rsidRDefault="00173450" w:rsidP="0074576D">
            <w:pPr>
              <w:spacing w:before="120"/>
              <w:ind w:right="63"/>
              <w:jc w:val="both"/>
              <w:rPr>
                <w:sz w:val="28"/>
              </w:rPr>
            </w:pPr>
            <w:r w:rsidRPr="00173450">
              <w:rPr>
                <w:noProof/>
                <w:sz w:val="28"/>
                <w:lang w:eastAsia="hu-HU"/>
              </w:rPr>
              <w:drawing>
                <wp:inline distT="0" distB="0" distL="0" distR="0">
                  <wp:extent cx="1296000" cy="1213842"/>
                  <wp:effectExtent l="19050" t="0" r="0" b="0"/>
                  <wp:docPr id="66" name="Kép 22" descr="Képtalálat a következőre: „ösztörűs veronika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Képtalálat a következőre: „ösztörűs veronika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b="147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00" cy="12138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173450" w:rsidRPr="001B19BE" w:rsidRDefault="00173450" w:rsidP="0074576D">
            <w:pPr>
              <w:spacing w:before="240"/>
              <w:jc w:val="center"/>
              <w:rPr>
                <w:sz w:val="56"/>
                <w:szCs w:val="56"/>
              </w:rPr>
            </w:pPr>
            <w:r w:rsidRPr="001B19BE">
              <w:rPr>
                <w:sz w:val="56"/>
                <w:szCs w:val="56"/>
              </w:rPr>
              <w:t>ösztörűs veronika</w:t>
            </w:r>
          </w:p>
        </w:tc>
        <w:tc>
          <w:tcPr>
            <w:tcW w:w="2268" w:type="dxa"/>
          </w:tcPr>
          <w:p w:rsidR="00173450" w:rsidRDefault="008C1311" w:rsidP="0074576D">
            <w:pPr>
              <w:spacing w:before="120"/>
              <w:ind w:right="63"/>
              <w:jc w:val="both"/>
            </w:pPr>
            <w:r>
              <w:rPr>
                <w:sz w:val="24"/>
              </w:rPr>
              <w:t>T</w:t>
            </w:r>
            <w:r w:rsidR="00173450" w:rsidRPr="001F31C9">
              <w:rPr>
                <w:sz w:val="24"/>
              </w:rPr>
              <w:t>eája javítja az agyi vérkeringést, ezért memóriazavar, v</w:t>
            </w:r>
            <w:r w:rsidR="00173450" w:rsidRPr="001F31C9">
              <w:rPr>
                <w:sz w:val="24"/>
              </w:rPr>
              <w:t>a</w:t>
            </w:r>
            <w:r w:rsidR="00173450" w:rsidRPr="001F31C9">
              <w:rPr>
                <w:sz w:val="24"/>
              </w:rPr>
              <w:t>lamint szédülés, fülzúgás esetén is alkalmazható.</w:t>
            </w:r>
          </w:p>
        </w:tc>
      </w:tr>
      <w:tr w:rsidR="008C1311" w:rsidTr="0074576D">
        <w:trPr>
          <w:trHeight w:val="2268"/>
        </w:trPr>
        <w:tc>
          <w:tcPr>
            <w:tcW w:w="2287" w:type="dxa"/>
          </w:tcPr>
          <w:p w:rsidR="00173450" w:rsidRDefault="00173450" w:rsidP="0074576D">
            <w:pPr>
              <w:spacing w:before="120"/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1296000" cy="1278704"/>
                  <wp:effectExtent l="19050" t="0" r="0" b="0"/>
                  <wp:docPr id="67" name="Kép 7" descr="Képtalálat a következőre: „zsálya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éptalálat a következőre: „zsálya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00" cy="12787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173450" w:rsidRPr="001B19BE" w:rsidRDefault="00173450" w:rsidP="0074576D">
            <w:pPr>
              <w:spacing w:before="60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zsálya</w:t>
            </w:r>
          </w:p>
        </w:tc>
        <w:tc>
          <w:tcPr>
            <w:tcW w:w="2268" w:type="dxa"/>
            <w:tcBorders>
              <w:right w:val="single" w:sz="36" w:space="0" w:color="auto"/>
            </w:tcBorders>
          </w:tcPr>
          <w:p w:rsidR="001C2642" w:rsidRDefault="001C2642" w:rsidP="0074576D">
            <w:pPr>
              <w:spacing w:before="240"/>
              <w:ind w:right="63"/>
              <w:jc w:val="both"/>
              <w:rPr>
                <w:sz w:val="24"/>
              </w:rPr>
            </w:pPr>
          </w:p>
          <w:p w:rsidR="00173450" w:rsidRPr="001C2642" w:rsidRDefault="00173450" w:rsidP="0074576D">
            <w:pPr>
              <w:spacing w:before="240"/>
              <w:ind w:right="63"/>
              <w:jc w:val="both"/>
              <w:rPr>
                <w:sz w:val="24"/>
              </w:rPr>
            </w:pPr>
            <w:r w:rsidRPr="001C2642">
              <w:rPr>
                <w:sz w:val="24"/>
              </w:rPr>
              <w:t>Teája segíti a ko</w:t>
            </w:r>
            <w:r w:rsidRPr="001C2642">
              <w:rPr>
                <w:sz w:val="24"/>
              </w:rPr>
              <w:t>n</w:t>
            </w:r>
            <w:r w:rsidRPr="001C2642">
              <w:rPr>
                <w:sz w:val="24"/>
              </w:rPr>
              <w:t>centrálóképességet, javítja a hosszú távú memóriát.</w:t>
            </w:r>
          </w:p>
        </w:tc>
        <w:tc>
          <w:tcPr>
            <w:tcW w:w="2350" w:type="dxa"/>
            <w:tcBorders>
              <w:left w:val="single" w:sz="36" w:space="0" w:color="auto"/>
            </w:tcBorders>
          </w:tcPr>
          <w:p w:rsidR="00173450" w:rsidRDefault="00173450" w:rsidP="0074576D">
            <w:pPr>
              <w:spacing w:before="120"/>
              <w:ind w:right="63"/>
              <w:jc w:val="center"/>
            </w:pPr>
            <w:r w:rsidRPr="00173450">
              <w:rPr>
                <w:noProof/>
                <w:lang w:eastAsia="hu-HU"/>
              </w:rPr>
              <w:drawing>
                <wp:inline distT="0" distB="0" distL="0" distR="0">
                  <wp:extent cx="1257300" cy="1146362"/>
                  <wp:effectExtent l="19050" t="0" r="0" b="0"/>
                  <wp:docPr id="68" name="Kép 4" descr="Képtalálat a következőre: „kislevelű bakopa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éptalálat a következőre: „kislevelű bakopa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1488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173450" w:rsidRPr="00AE69E6" w:rsidRDefault="00173450" w:rsidP="0074576D">
            <w:pPr>
              <w:spacing w:before="24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kislevelű bakopa</w:t>
            </w:r>
          </w:p>
        </w:tc>
        <w:tc>
          <w:tcPr>
            <w:tcW w:w="2268" w:type="dxa"/>
          </w:tcPr>
          <w:p w:rsidR="001C2642" w:rsidRDefault="001C2642" w:rsidP="0074576D">
            <w:pPr>
              <w:spacing w:before="120"/>
              <w:ind w:right="63"/>
              <w:jc w:val="both"/>
              <w:rPr>
                <w:sz w:val="24"/>
                <w:szCs w:val="24"/>
              </w:rPr>
            </w:pPr>
          </w:p>
          <w:p w:rsidR="00173450" w:rsidRPr="001C2642" w:rsidRDefault="00173450" w:rsidP="0074576D">
            <w:pPr>
              <w:spacing w:before="120"/>
              <w:ind w:right="63"/>
              <w:jc w:val="both"/>
              <w:rPr>
                <w:sz w:val="24"/>
                <w:szCs w:val="24"/>
              </w:rPr>
            </w:pPr>
            <w:r w:rsidRPr="001C2642">
              <w:rPr>
                <w:sz w:val="24"/>
                <w:szCs w:val="24"/>
              </w:rPr>
              <w:t>Teája véd a felejté</w:t>
            </w:r>
            <w:r w:rsidRPr="001C2642">
              <w:rPr>
                <w:sz w:val="24"/>
                <w:szCs w:val="24"/>
              </w:rPr>
              <w:t>s</w:t>
            </w:r>
            <w:r w:rsidRPr="001C2642">
              <w:rPr>
                <w:sz w:val="24"/>
                <w:szCs w:val="24"/>
              </w:rPr>
              <w:t>től, hatóanyagai fokozzák a tanulá</w:t>
            </w:r>
            <w:r w:rsidRPr="001C2642">
              <w:rPr>
                <w:sz w:val="24"/>
                <w:szCs w:val="24"/>
              </w:rPr>
              <w:t>s</w:t>
            </w:r>
            <w:r w:rsidRPr="001C2642">
              <w:rPr>
                <w:sz w:val="24"/>
                <w:szCs w:val="24"/>
              </w:rPr>
              <w:t>készs</w:t>
            </w:r>
            <w:r w:rsidR="001C2642" w:rsidRPr="001C2642">
              <w:rPr>
                <w:sz w:val="24"/>
                <w:szCs w:val="24"/>
              </w:rPr>
              <w:t>é</w:t>
            </w:r>
            <w:r w:rsidRPr="001C2642">
              <w:rPr>
                <w:sz w:val="24"/>
                <w:szCs w:val="24"/>
              </w:rPr>
              <w:t>get, a tanulás sebességét.</w:t>
            </w:r>
          </w:p>
        </w:tc>
      </w:tr>
      <w:tr w:rsidR="003272E4" w:rsidTr="0074576D">
        <w:trPr>
          <w:trHeight w:val="2268"/>
        </w:trPr>
        <w:tc>
          <w:tcPr>
            <w:tcW w:w="2287" w:type="dxa"/>
          </w:tcPr>
          <w:p w:rsidR="00173450" w:rsidRDefault="00173450" w:rsidP="0074576D">
            <w:pPr>
              <w:spacing w:before="120"/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1296000" cy="1278704"/>
                  <wp:effectExtent l="19050" t="0" r="0" b="0"/>
                  <wp:docPr id="69" name="Kép 13" descr="Képtalálat a következőre: „télizöld meténg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Képtalálat a következőre: „télizöld meténg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00" cy="12787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173450" w:rsidRPr="001B19BE" w:rsidRDefault="00173450" w:rsidP="0074576D">
            <w:pPr>
              <w:spacing w:before="24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télizöld meténg</w:t>
            </w:r>
          </w:p>
        </w:tc>
        <w:tc>
          <w:tcPr>
            <w:tcW w:w="2268" w:type="dxa"/>
            <w:tcBorders>
              <w:right w:val="single" w:sz="36" w:space="0" w:color="auto"/>
            </w:tcBorders>
          </w:tcPr>
          <w:p w:rsidR="00C72A66" w:rsidRPr="001C2642" w:rsidRDefault="00C72A66" w:rsidP="0074576D">
            <w:pPr>
              <w:spacing w:before="120"/>
              <w:ind w:right="63"/>
              <w:jc w:val="both"/>
              <w:rPr>
                <w:sz w:val="24"/>
              </w:rPr>
            </w:pPr>
          </w:p>
          <w:p w:rsidR="00173450" w:rsidRPr="001C2642" w:rsidRDefault="00173450" w:rsidP="0074576D">
            <w:pPr>
              <w:spacing w:before="120"/>
              <w:ind w:right="63"/>
              <w:jc w:val="both"/>
              <w:rPr>
                <w:sz w:val="24"/>
              </w:rPr>
            </w:pPr>
            <w:r w:rsidRPr="001C2642">
              <w:rPr>
                <w:sz w:val="24"/>
              </w:rPr>
              <w:t>Segíti az agysejtek oxigén- és glukóz-felvételét.</w:t>
            </w:r>
          </w:p>
        </w:tc>
        <w:tc>
          <w:tcPr>
            <w:tcW w:w="2350" w:type="dxa"/>
            <w:tcBorders>
              <w:left w:val="single" w:sz="36" w:space="0" w:color="auto"/>
            </w:tcBorders>
          </w:tcPr>
          <w:p w:rsidR="00173450" w:rsidRDefault="00173450" w:rsidP="0074576D">
            <w:pPr>
              <w:spacing w:before="120"/>
              <w:ind w:right="63"/>
              <w:jc w:val="both"/>
            </w:pPr>
            <w:r w:rsidRPr="00173450">
              <w:rPr>
                <w:noProof/>
                <w:lang w:eastAsia="hu-HU"/>
              </w:rPr>
              <w:drawing>
                <wp:inline distT="0" distB="0" distL="0" distR="0">
                  <wp:extent cx="1260000" cy="1232206"/>
                  <wp:effectExtent l="19050" t="0" r="0" b="0"/>
                  <wp:docPr id="70" name="Kép 10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322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173450" w:rsidRPr="00AE69E6" w:rsidRDefault="00173450" w:rsidP="0074576D">
            <w:pPr>
              <w:spacing w:before="72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citromfű</w:t>
            </w:r>
          </w:p>
        </w:tc>
        <w:tc>
          <w:tcPr>
            <w:tcW w:w="2268" w:type="dxa"/>
          </w:tcPr>
          <w:p w:rsidR="00173450" w:rsidRPr="001C2642" w:rsidRDefault="00173450" w:rsidP="0074576D">
            <w:pPr>
              <w:spacing w:before="120"/>
              <w:ind w:right="63"/>
              <w:rPr>
                <w:sz w:val="24"/>
                <w:szCs w:val="24"/>
              </w:rPr>
            </w:pPr>
          </w:p>
          <w:p w:rsidR="00173450" w:rsidRPr="001C2642" w:rsidRDefault="00173450" w:rsidP="0074576D">
            <w:pPr>
              <w:spacing w:before="120"/>
              <w:ind w:right="63"/>
              <w:rPr>
                <w:sz w:val="24"/>
                <w:szCs w:val="24"/>
              </w:rPr>
            </w:pPr>
            <w:r w:rsidRPr="001C2642">
              <w:rPr>
                <w:sz w:val="24"/>
                <w:szCs w:val="24"/>
              </w:rPr>
              <w:t>Teája segíti a ko</w:t>
            </w:r>
            <w:r w:rsidRPr="001C2642">
              <w:rPr>
                <w:sz w:val="24"/>
                <w:szCs w:val="24"/>
              </w:rPr>
              <w:t>n</w:t>
            </w:r>
            <w:r w:rsidRPr="001C2642">
              <w:rPr>
                <w:sz w:val="24"/>
                <w:szCs w:val="24"/>
              </w:rPr>
              <w:t>centrálóképességet.</w:t>
            </w:r>
          </w:p>
        </w:tc>
      </w:tr>
    </w:tbl>
    <w:p w:rsidR="00022846" w:rsidRDefault="008C1311">
      <w:r>
        <w:t>Hármas memória</w:t>
      </w:r>
    </w:p>
    <w:p w:rsidR="008C1311" w:rsidRPr="00002EF4" w:rsidRDefault="008C1311">
      <w:pPr>
        <w:rPr>
          <w:sz w:val="24"/>
        </w:rPr>
      </w:pPr>
      <w:r w:rsidRPr="00002EF4">
        <w:rPr>
          <w:sz w:val="24"/>
        </w:rPr>
        <w:t xml:space="preserve">1. Az emlékezés és felejtés virágai című cikk olvasása, </w:t>
      </w:r>
      <w:r w:rsidR="00326D80">
        <w:rPr>
          <w:sz w:val="24"/>
        </w:rPr>
        <w:t xml:space="preserve">memóriafejlesztő </w:t>
      </w:r>
      <w:r w:rsidRPr="00002EF4">
        <w:rPr>
          <w:sz w:val="24"/>
        </w:rPr>
        <w:t>növények kigyűjtése</w:t>
      </w:r>
    </w:p>
    <w:p w:rsidR="008C1311" w:rsidRDefault="008C1311">
      <w:pPr>
        <w:rPr>
          <w:sz w:val="24"/>
        </w:rPr>
      </w:pPr>
      <w:r w:rsidRPr="00002EF4">
        <w:rPr>
          <w:sz w:val="24"/>
        </w:rPr>
        <w:t xml:space="preserve">2. </w:t>
      </w:r>
      <w:r w:rsidR="00002EF4" w:rsidRPr="00002EF4">
        <w:rPr>
          <w:sz w:val="24"/>
        </w:rPr>
        <w:t>Kép-név és hatása párosítás</w:t>
      </w:r>
      <w:r w:rsidR="00326D80">
        <w:rPr>
          <w:sz w:val="24"/>
        </w:rPr>
        <w:t xml:space="preserve">; </w:t>
      </w:r>
      <w:r w:rsidR="007A624D">
        <w:rPr>
          <w:sz w:val="24"/>
        </w:rPr>
        <w:t>ösztörűs veronika nem szerepel a szövegben, de hasonló hatása van, mint a többinek</w:t>
      </w:r>
    </w:p>
    <w:p w:rsidR="0074576D" w:rsidRPr="00002EF4" w:rsidRDefault="0074576D">
      <w:pPr>
        <w:rPr>
          <w:sz w:val="24"/>
        </w:rPr>
      </w:pPr>
      <w:r>
        <w:rPr>
          <w:sz w:val="24"/>
        </w:rPr>
        <w:t>- memória lap</w:t>
      </w:r>
      <w:r w:rsidR="00E2718E">
        <w:rPr>
          <w:sz w:val="24"/>
        </w:rPr>
        <w:t>ot laminálás után feldaraboljuk;</w:t>
      </w:r>
      <w:r>
        <w:rPr>
          <w:sz w:val="24"/>
        </w:rPr>
        <w:t xml:space="preserve"> a folyóirat és az internet segítségével hármas csoportokat keresünk</w:t>
      </w:r>
      <w:r w:rsidR="00E2718E">
        <w:rPr>
          <w:sz w:val="24"/>
        </w:rPr>
        <w:t>; hagyományos memóriaként is játszható</w:t>
      </w:r>
    </w:p>
    <w:p w:rsidR="00B27E17" w:rsidRDefault="00B27E17"/>
    <w:sectPr w:rsidR="00B27E17" w:rsidSect="000F00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compat/>
  <w:rsids>
    <w:rsidRoot w:val="00D4391A"/>
    <w:rsid w:val="00002EF4"/>
    <w:rsid w:val="00010B96"/>
    <w:rsid w:val="00022846"/>
    <w:rsid w:val="0008030B"/>
    <w:rsid w:val="000F0071"/>
    <w:rsid w:val="0010586C"/>
    <w:rsid w:val="00173450"/>
    <w:rsid w:val="001B19BE"/>
    <w:rsid w:val="001C2642"/>
    <w:rsid w:val="001D38B9"/>
    <w:rsid w:val="001F31C9"/>
    <w:rsid w:val="002234A9"/>
    <w:rsid w:val="00225061"/>
    <w:rsid w:val="002701C7"/>
    <w:rsid w:val="002764DF"/>
    <w:rsid w:val="002802AE"/>
    <w:rsid w:val="00294581"/>
    <w:rsid w:val="00295BD8"/>
    <w:rsid w:val="002A211B"/>
    <w:rsid w:val="00326D80"/>
    <w:rsid w:val="003272E4"/>
    <w:rsid w:val="0040474C"/>
    <w:rsid w:val="004514C9"/>
    <w:rsid w:val="004B7964"/>
    <w:rsid w:val="0054375C"/>
    <w:rsid w:val="00656C0A"/>
    <w:rsid w:val="0066302B"/>
    <w:rsid w:val="006A09C3"/>
    <w:rsid w:val="006C1E56"/>
    <w:rsid w:val="00731B50"/>
    <w:rsid w:val="0074576D"/>
    <w:rsid w:val="00796E74"/>
    <w:rsid w:val="007A3C5E"/>
    <w:rsid w:val="007A624D"/>
    <w:rsid w:val="007C323C"/>
    <w:rsid w:val="008B73E8"/>
    <w:rsid w:val="008C1311"/>
    <w:rsid w:val="0094383A"/>
    <w:rsid w:val="009B2E0B"/>
    <w:rsid w:val="00A219FE"/>
    <w:rsid w:val="00A44FB3"/>
    <w:rsid w:val="00AA6629"/>
    <w:rsid w:val="00AA6A8C"/>
    <w:rsid w:val="00AE69E6"/>
    <w:rsid w:val="00B27E17"/>
    <w:rsid w:val="00B55401"/>
    <w:rsid w:val="00C22B3A"/>
    <w:rsid w:val="00C32182"/>
    <w:rsid w:val="00C72A66"/>
    <w:rsid w:val="00CA1F73"/>
    <w:rsid w:val="00CC5CF3"/>
    <w:rsid w:val="00CD5E4F"/>
    <w:rsid w:val="00CD740B"/>
    <w:rsid w:val="00D14485"/>
    <w:rsid w:val="00D4391A"/>
    <w:rsid w:val="00DF3380"/>
    <w:rsid w:val="00E2718E"/>
    <w:rsid w:val="00ED0919"/>
    <w:rsid w:val="00F63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284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439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43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439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949215-D480-4903-BCF0-F0F6EDFC8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123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2019-05-09T14:19:00Z</dcterms:created>
  <dcterms:modified xsi:type="dcterms:W3CDTF">2019-05-12T16:15:00Z</dcterms:modified>
</cp:coreProperties>
</file>