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40" w:rsidRPr="004C3ED3" w:rsidRDefault="007F7440" w:rsidP="004C3ED3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4C3ED3">
        <w:rPr>
          <w:rFonts w:ascii="Times New Roman" w:hAnsi="Times New Roman" w:cs="Times New Roman"/>
          <w:sz w:val="24"/>
          <w:szCs w:val="24"/>
        </w:rPr>
        <w:t>Inczédy</w:t>
      </w:r>
      <w:proofErr w:type="spellEnd"/>
      <w:r w:rsidRPr="004C3ED3">
        <w:rPr>
          <w:rFonts w:ascii="Times New Roman" w:hAnsi="Times New Roman" w:cs="Times New Roman"/>
          <w:sz w:val="24"/>
          <w:szCs w:val="24"/>
        </w:rPr>
        <w:t xml:space="preserve"> Tamás: A mérges teve</w:t>
      </w:r>
    </w:p>
    <w:p w:rsidR="00C9707A" w:rsidRPr="004C3ED3" w:rsidRDefault="003E47D7" w:rsidP="004C3ED3">
      <w:pPr>
        <w:tabs>
          <w:tab w:val="left" w:pos="2268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4C3ED3">
        <w:rPr>
          <w:rFonts w:ascii="Times New Roman" w:hAnsi="Times New Roman" w:cs="Times New Roman"/>
          <w:sz w:val="24"/>
          <w:szCs w:val="24"/>
        </w:rPr>
        <w:t>Szükséges eszközök:</w:t>
      </w:r>
      <w:r w:rsidR="004C3ED3" w:rsidRPr="004C3ED3">
        <w:rPr>
          <w:rFonts w:ascii="Times New Roman" w:hAnsi="Times New Roman" w:cs="Times New Roman"/>
          <w:sz w:val="24"/>
          <w:szCs w:val="24"/>
        </w:rPr>
        <w:tab/>
        <w:t>- szókártyák a csoportalakításhoz</w:t>
      </w:r>
    </w:p>
    <w:p w:rsidR="00DC0694" w:rsidRPr="004C3ED3" w:rsidRDefault="003E47D7" w:rsidP="004C3ED3">
      <w:pPr>
        <w:tabs>
          <w:tab w:val="left" w:pos="2268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4C3ED3">
        <w:rPr>
          <w:rFonts w:ascii="Times New Roman" w:hAnsi="Times New Roman" w:cs="Times New Roman"/>
          <w:sz w:val="24"/>
          <w:szCs w:val="24"/>
        </w:rPr>
        <w:tab/>
      </w:r>
      <w:r w:rsidR="00DC0694" w:rsidRPr="004C3ED3">
        <w:rPr>
          <w:rFonts w:ascii="Times New Roman" w:hAnsi="Times New Roman" w:cs="Times New Roman"/>
          <w:sz w:val="24"/>
          <w:szCs w:val="24"/>
        </w:rPr>
        <w:t>- Szitakötő 45. szám</w:t>
      </w:r>
    </w:p>
    <w:p w:rsidR="00DC0694" w:rsidRPr="004C3ED3" w:rsidRDefault="00995A7A" w:rsidP="004C3ED3">
      <w:pPr>
        <w:tabs>
          <w:tab w:val="left" w:pos="2268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4C3ED3">
        <w:rPr>
          <w:rFonts w:ascii="Times New Roman" w:hAnsi="Times New Roman" w:cs="Times New Roman"/>
          <w:sz w:val="24"/>
          <w:szCs w:val="24"/>
        </w:rPr>
        <w:tab/>
        <w:t>- tulajdonságlista</w:t>
      </w:r>
    </w:p>
    <w:p w:rsidR="00417F3B" w:rsidRPr="004C3ED3" w:rsidRDefault="00417F3B" w:rsidP="00795821">
      <w:pPr>
        <w:rPr>
          <w:rFonts w:ascii="Times New Roman" w:hAnsi="Times New Roman" w:cs="Times New Roman"/>
          <w:b/>
          <w:sz w:val="24"/>
          <w:szCs w:val="24"/>
        </w:rPr>
      </w:pPr>
      <w:r w:rsidRPr="004C3ED3">
        <w:rPr>
          <w:rFonts w:ascii="Times New Roman" w:hAnsi="Times New Roman" w:cs="Times New Roman"/>
          <w:b/>
          <w:sz w:val="24"/>
          <w:szCs w:val="24"/>
        </w:rPr>
        <w:t>1. Utazás</w:t>
      </w:r>
    </w:p>
    <w:p w:rsidR="00417F3B" w:rsidRDefault="00417F3B" w:rsidP="004C3ED3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C3ED3">
        <w:rPr>
          <w:rFonts w:ascii="Times New Roman" w:hAnsi="Times New Roman" w:cs="Times New Roman"/>
          <w:sz w:val="24"/>
          <w:szCs w:val="24"/>
        </w:rPr>
        <w:t xml:space="preserve">A tanulók körben ülnek. A játék kezdetén a játékvezető azt mondja: „Úgy döntöttem, elutazom </w:t>
      </w:r>
      <w:r w:rsidR="007F7440" w:rsidRPr="004C3ED3">
        <w:rPr>
          <w:rFonts w:ascii="Times New Roman" w:hAnsi="Times New Roman" w:cs="Times New Roman"/>
          <w:sz w:val="24"/>
          <w:szCs w:val="24"/>
        </w:rPr>
        <w:t>Ázsiába</w:t>
      </w:r>
      <w:r w:rsidRPr="004C3ED3">
        <w:rPr>
          <w:rFonts w:ascii="Times New Roman" w:hAnsi="Times New Roman" w:cs="Times New Roman"/>
          <w:sz w:val="24"/>
          <w:szCs w:val="24"/>
        </w:rPr>
        <w:t xml:space="preserve">, ezért fogtam a bőröndömet és beletettem pl. egy </w:t>
      </w:r>
      <w:r w:rsidR="007F7440" w:rsidRPr="004C3ED3">
        <w:rPr>
          <w:rFonts w:ascii="Times New Roman" w:hAnsi="Times New Roman" w:cs="Times New Roman"/>
          <w:sz w:val="24"/>
          <w:szCs w:val="24"/>
        </w:rPr>
        <w:t>útikönyvet</w:t>
      </w:r>
      <w:r w:rsidRPr="004C3ED3">
        <w:rPr>
          <w:rFonts w:ascii="Times New Roman" w:hAnsi="Times New Roman" w:cs="Times New Roman"/>
          <w:sz w:val="24"/>
          <w:szCs w:val="24"/>
        </w:rPr>
        <w:t>.” A soron következő tanuló mindig egy további tárgyat „tesz bele” a bőröndbe, de előtte felsorolja a többiek által korábban becsomagolt tárgyakat. A játékok addig folytatjuk, míg a körbe nem érünk.</w:t>
      </w:r>
    </w:p>
    <w:p w:rsidR="004C3ED3" w:rsidRPr="004C3ED3" w:rsidRDefault="004C3ED3" w:rsidP="004C3ED3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417F3B" w:rsidRPr="004C3ED3" w:rsidRDefault="00417F3B" w:rsidP="00795821">
      <w:pPr>
        <w:rPr>
          <w:rFonts w:ascii="Times New Roman" w:hAnsi="Times New Roman" w:cs="Times New Roman"/>
          <w:b/>
          <w:sz w:val="24"/>
          <w:szCs w:val="24"/>
        </w:rPr>
      </w:pPr>
      <w:r w:rsidRPr="004C3ED3">
        <w:rPr>
          <w:rFonts w:ascii="Times New Roman" w:hAnsi="Times New Roman" w:cs="Times New Roman"/>
          <w:b/>
          <w:sz w:val="24"/>
          <w:szCs w:val="24"/>
        </w:rPr>
        <w:t>2. Állatkert</w:t>
      </w:r>
    </w:p>
    <w:p w:rsidR="00417F3B" w:rsidRPr="004C3ED3" w:rsidRDefault="00417F3B" w:rsidP="004C3ED3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C3ED3">
        <w:rPr>
          <w:rFonts w:ascii="Times New Roman" w:hAnsi="Times New Roman" w:cs="Times New Roman"/>
          <w:sz w:val="24"/>
          <w:szCs w:val="24"/>
        </w:rPr>
        <w:t>Mind</w:t>
      </w:r>
      <w:r w:rsidR="007F7440" w:rsidRPr="004C3ED3">
        <w:rPr>
          <w:rFonts w:ascii="Times New Roman" w:hAnsi="Times New Roman" w:cs="Times New Roman"/>
          <w:sz w:val="24"/>
          <w:szCs w:val="24"/>
        </w:rPr>
        <w:t>enki választ magának egy ázsiai</w:t>
      </w:r>
      <w:r w:rsidRPr="004C3ED3">
        <w:rPr>
          <w:rFonts w:ascii="Times New Roman" w:hAnsi="Times New Roman" w:cs="Times New Roman"/>
          <w:sz w:val="24"/>
          <w:szCs w:val="24"/>
        </w:rPr>
        <w:t xml:space="preserve"> állatot (ellenőrizzük</w:t>
      </w:r>
      <w:r w:rsidR="00287575" w:rsidRPr="004C3ED3">
        <w:rPr>
          <w:rFonts w:ascii="Times New Roman" w:hAnsi="Times New Roman" w:cs="Times New Roman"/>
          <w:sz w:val="24"/>
          <w:szCs w:val="24"/>
        </w:rPr>
        <w:t xml:space="preserve"> le</w:t>
      </w:r>
      <w:r w:rsidRPr="004C3ED3">
        <w:rPr>
          <w:rFonts w:ascii="Times New Roman" w:hAnsi="Times New Roman" w:cs="Times New Roman"/>
          <w:sz w:val="24"/>
          <w:szCs w:val="24"/>
        </w:rPr>
        <w:t>, hogy ne legyen két azonos) és egy jelet, amely a</w:t>
      </w:r>
      <w:r w:rsidR="006467F9" w:rsidRPr="004C3ED3">
        <w:rPr>
          <w:rFonts w:ascii="Times New Roman" w:hAnsi="Times New Roman" w:cs="Times New Roman"/>
          <w:sz w:val="24"/>
          <w:szCs w:val="24"/>
        </w:rPr>
        <w:t xml:space="preserve"> választott</w:t>
      </w:r>
      <w:r w:rsidRPr="004C3ED3">
        <w:rPr>
          <w:rFonts w:ascii="Times New Roman" w:hAnsi="Times New Roman" w:cs="Times New Roman"/>
          <w:sz w:val="24"/>
          <w:szCs w:val="24"/>
        </w:rPr>
        <w:t xml:space="preserve"> állatot jelképezi. Mindenki bemutatja a saját állatát és a jelét. Ezután kezdődik a játék. A kezdő játékos bemutatja a saját jelét, azután valaki másét. Akinek a jelét bemutatták, ő is előadja a sajátját, majd mutat egy újat.</w:t>
      </w:r>
    </w:p>
    <w:p w:rsidR="007F7440" w:rsidRDefault="00287575" w:rsidP="004C3ED3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C3ED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17F3B" w:rsidRPr="004C3ED3">
        <w:rPr>
          <w:rFonts w:ascii="Times New Roman" w:hAnsi="Times New Roman" w:cs="Times New Roman"/>
          <w:sz w:val="24"/>
          <w:szCs w:val="24"/>
        </w:rPr>
        <w:t>Ha segíteni kell az állatok kiválasztásában</w:t>
      </w:r>
      <w:r w:rsidRPr="004C3ED3">
        <w:rPr>
          <w:rFonts w:ascii="Times New Roman" w:hAnsi="Times New Roman" w:cs="Times New Roman"/>
          <w:sz w:val="24"/>
          <w:szCs w:val="24"/>
        </w:rPr>
        <w:t>:</w:t>
      </w:r>
      <w:r w:rsidR="00417F3B" w:rsidRPr="004C3ED3">
        <w:rPr>
          <w:rFonts w:ascii="Times New Roman" w:hAnsi="Times New Roman" w:cs="Times New Roman"/>
          <w:sz w:val="24"/>
          <w:szCs w:val="24"/>
        </w:rPr>
        <w:t xml:space="preserve"> </w:t>
      </w:r>
      <w:r w:rsidR="007F7440" w:rsidRPr="004C3ED3">
        <w:rPr>
          <w:rFonts w:ascii="Times New Roman" w:hAnsi="Times New Roman" w:cs="Times New Roman"/>
          <w:sz w:val="24"/>
          <w:szCs w:val="24"/>
        </w:rPr>
        <w:t xml:space="preserve">jak, örvös medve, </w:t>
      </w:r>
      <w:proofErr w:type="spellStart"/>
      <w:r w:rsidR="007F7440" w:rsidRPr="004C3ED3">
        <w:rPr>
          <w:rFonts w:ascii="Times New Roman" w:hAnsi="Times New Roman" w:cs="Times New Roman"/>
          <w:sz w:val="24"/>
          <w:szCs w:val="24"/>
        </w:rPr>
        <w:t>hópárduc</w:t>
      </w:r>
      <w:proofErr w:type="spellEnd"/>
      <w:r w:rsidR="007F7440" w:rsidRPr="004C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440" w:rsidRPr="004C3ED3">
        <w:rPr>
          <w:rFonts w:ascii="Times New Roman" w:hAnsi="Times New Roman" w:cs="Times New Roman"/>
          <w:sz w:val="24"/>
          <w:szCs w:val="24"/>
        </w:rPr>
        <w:t>makákó</w:t>
      </w:r>
      <w:proofErr w:type="spellEnd"/>
      <w:r w:rsidR="007F7440" w:rsidRPr="004C3ED3">
        <w:rPr>
          <w:rFonts w:ascii="Times New Roman" w:hAnsi="Times New Roman" w:cs="Times New Roman"/>
          <w:sz w:val="24"/>
          <w:szCs w:val="24"/>
        </w:rPr>
        <w:t>,</w:t>
      </w:r>
      <w:r w:rsidR="00C32600" w:rsidRPr="004C3ED3">
        <w:rPr>
          <w:rFonts w:ascii="Times New Roman" w:hAnsi="Times New Roman" w:cs="Times New Roman"/>
          <w:sz w:val="24"/>
          <w:szCs w:val="24"/>
        </w:rPr>
        <w:t xml:space="preserve"> óriáspanda, tigris, repülőgyík, siketfajd, coboly, rénszarvas, sarki róka, hóbagoly, lemming, hosszúfülű ugróegér, </w:t>
      </w:r>
      <w:proofErr w:type="spellStart"/>
      <w:r w:rsidR="00C32600" w:rsidRPr="004C3ED3">
        <w:rPr>
          <w:rFonts w:ascii="Times New Roman" w:hAnsi="Times New Roman" w:cs="Times New Roman"/>
          <w:sz w:val="24"/>
          <w:szCs w:val="24"/>
        </w:rPr>
        <w:t>varánusz</w:t>
      </w:r>
      <w:proofErr w:type="spellEnd"/>
      <w:r w:rsidR="00C32600" w:rsidRPr="004C3ED3">
        <w:rPr>
          <w:rFonts w:ascii="Times New Roman" w:hAnsi="Times New Roman" w:cs="Times New Roman"/>
          <w:sz w:val="24"/>
          <w:szCs w:val="24"/>
        </w:rPr>
        <w:t xml:space="preserve">, kétpúpú teve, gazella, vadszamár, óriás szalamandra, aligátor, aranyfácán, pápaszemes kobra, királykobra, páva, majomevő sas, maki, gibbon, orángután, leopárd, párduc, elefánt, orrszarvú, tapír, </w:t>
      </w:r>
      <w:proofErr w:type="spellStart"/>
      <w:r w:rsidR="00C32600" w:rsidRPr="004C3ED3">
        <w:rPr>
          <w:rFonts w:ascii="Times New Roman" w:hAnsi="Times New Roman" w:cs="Times New Roman"/>
          <w:sz w:val="24"/>
          <w:szCs w:val="24"/>
        </w:rPr>
        <w:t>gaviál</w:t>
      </w:r>
      <w:proofErr w:type="spellEnd"/>
      <w:r w:rsidR="006467F9" w:rsidRPr="004C3ED3">
        <w:rPr>
          <w:rFonts w:ascii="Times New Roman" w:hAnsi="Times New Roman" w:cs="Times New Roman"/>
          <w:sz w:val="24"/>
          <w:szCs w:val="24"/>
        </w:rPr>
        <w:t>.</w:t>
      </w:r>
      <w:r w:rsidR="00C32600" w:rsidRPr="004C3ED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C3ED3" w:rsidRPr="004C3ED3" w:rsidRDefault="004C3ED3" w:rsidP="004C3ED3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73057B" w:rsidRPr="004C3ED3" w:rsidRDefault="0073057B" w:rsidP="00795821">
      <w:pPr>
        <w:rPr>
          <w:rFonts w:ascii="Times New Roman" w:hAnsi="Times New Roman" w:cs="Times New Roman"/>
          <w:b/>
          <w:sz w:val="24"/>
          <w:szCs w:val="24"/>
        </w:rPr>
      </w:pPr>
      <w:r w:rsidRPr="004C3ED3">
        <w:rPr>
          <w:rFonts w:ascii="Times New Roman" w:hAnsi="Times New Roman" w:cs="Times New Roman"/>
          <w:b/>
          <w:sz w:val="24"/>
          <w:szCs w:val="24"/>
        </w:rPr>
        <w:t>3. Csoportalakítás</w:t>
      </w:r>
    </w:p>
    <w:p w:rsidR="003E47D7" w:rsidRPr="004C3ED3" w:rsidRDefault="006467F9" w:rsidP="004C3ED3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C3ED3">
        <w:rPr>
          <w:rFonts w:ascii="Times New Roman" w:hAnsi="Times New Roman" w:cs="Times New Roman"/>
          <w:sz w:val="24"/>
          <w:szCs w:val="24"/>
        </w:rPr>
        <w:t xml:space="preserve">Négyfős csoportokat alakítunk ki véletlenszerűen. </w:t>
      </w:r>
      <w:r w:rsidR="003E47D7" w:rsidRPr="004C3ED3">
        <w:rPr>
          <w:rFonts w:ascii="Times New Roman" w:hAnsi="Times New Roman" w:cs="Times New Roman"/>
          <w:sz w:val="24"/>
          <w:szCs w:val="24"/>
        </w:rPr>
        <w:t>Minden tanuló húz egy szókártyát. Az azonos szókártyát húzó tanulók alkotnak egy csoportot.</w:t>
      </w:r>
    </w:p>
    <w:p w:rsidR="006467F9" w:rsidRPr="004C3ED3" w:rsidRDefault="006467F9" w:rsidP="004C3ED3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C3ED3">
        <w:rPr>
          <w:rFonts w:ascii="Times New Roman" w:hAnsi="Times New Roman" w:cs="Times New Roman"/>
          <w:sz w:val="24"/>
          <w:szCs w:val="24"/>
        </w:rPr>
        <w:t>A csoportok szóforgóval felolvassák a szókártyán található jellemzőket. Milyen állatra ismerünk?</w:t>
      </w:r>
    </w:p>
    <w:p w:rsidR="00795821" w:rsidRDefault="00795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47D7" w:rsidRDefault="003E47D7" w:rsidP="00795821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4C3ED3">
        <w:rPr>
          <w:rFonts w:ascii="Times New Roman" w:hAnsi="Times New Roman" w:cs="Times New Roman"/>
          <w:sz w:val="24"/>
          <w:szCs w:val="24"/>
        </w:rPr>
        <w:lastRenderedPageBreak/>
        <w:t>Szókártyák a csoportalakításhoz: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07D91" w:rsidRPr="00795821" w:rsidTr="004C3ED3"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DA746F" w:rsidRPr="00795821" w:rsidRDefault="00DA746F" w:rsidP="00795821">
            <w:pPr>
              <w:spacing w:before="360" w:after="3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1">
              <w:rPr>
                <w:rFonts w:ascii="Times New Roman" w:hAnsi="Times New Roman" w:cs="Times New Roman"/>
                <w:sz w:val="24"/>
                <w:szCs w:val="24"/>
              </w:rPr>
              <w:t>3 m hosszú, 2 m magas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:rsidR="00DA746F" w:rsidRPr="00795821" w:rsidRDefault="00DA746F" w:rsidP="00795821">
            <w:pPr>
              <w:spacing w:before="360" w:after="3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élettartama mintegy 40 év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:rsidR="00DA746F" w:rsidRPr="00795821" w:rsidRDefault="007F7440" w:rsidP="00795821">
            <w:pPr>
              <w:spacing w:before="360" w:after="3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1">
              <w:rPr>
                <w:rFonts w:ascii="Times New Roman" w:hAnsi="Times New Roman" w:cs="Times New Roman"/>
                <w:sz w:val="24"/>
                <w:szCs w:val="24"/>
              </w:rPr>
              <w:t>páros ujjú patás</w:t>
            </w:r>
          </w:p>
        </w:tc>
      </w:tr>
      <w:tr w:rsidR="00C07D91" w:rsidRPr="00795821" w:rsidTr="004C3ED3">
        <w:tc>
          <w:tcPr>
            <w:tcW w:w="30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DA746F" w:rsidRPr="00795821" w:rsidRDefault="007F7440" w:rsidP="00795821">
            <w:pPr>
              <w:pStyle w:val="NormlWeb"/>
              <w:shd w:val="clear" w:color="auto" w:fill="FFFFFF"/>
              <w:spacing w:before="360" w:beforeAutospacing="0" w:after="360" w:afterAutospacing="0" w:line="360" w:lineRule="auto"/>
              <w:jc w:val="center"/>
            </w:pPr>
            <w:r w:rsidRPr="00795821">
              <w:rPr>
                <w:color w:val="222222"/>
              </w:rPr>
              <w:t>képes hőség idején</w:t>
            </w:r>
            <w:r w:rsidR="00DA746F" w:rsidRPr="00795821">
              <w:rPr>
                <w:color w:val="222222"/>
              </w:rPr>
              <w:t xml:space="preserve"> 4–7 napot kibírni ivás nélkül</w:t>
            </w:r>
            <w:r w:rsidRPr="00795821">
              <w:rPr>
                <w:color w:val="222222"/>
              </w:rPr>
              <w:t>, valamint 5–10 percen belül 100 liter folyadékot magához venni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vAlign w:val="center"/>
          </w:tcPr>
          <w:p w:rsidR="00DA746F" w:rsidRPr="00795821" w:rsidRDefault="007F7440" w:rsidP="00795821">
            <w:pPr>
              <w:spacing w:before="360" w:after="3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egy nap alatt az egypúpú 200 kg terhet 50 km távolságra szállít, a kétpúpú 100 kg-ot 60 km távolságra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vAlign w:val="center"/>
          </w:tcPr>
          <w:p w:rsidR="00DA746F" w:rsidRPr="00795821" w:rsidRDefault="004C3ED3" w:rsidP="00795821">
            <w:pPr>
              <w:spacing w:before="360" w:after="3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1">
              <w:rPr>
                <w:rFonts w:ascii="Times New Roman" w:hAnsi="Times New Roman" w:cs="Times New Roman"/>
                <w:sz w:val="24"/>
                <w:szCs w:val="24"/>
              </w:rPr>
              <w:t xml:space="preserve">hímek súlya 400-650 kg, </w:t>
            </w:r>
            <w:r w:rsidRPr="0079582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 nőstények mintegy 10%-kal könnyebbek</w:t>
            </w:r>
          </w:p>
        </w:tc>
      </w:tr>
      <w:tr w:rsidR="00C07D91" w:rsidRPr="00795821" w:rsidTr="006467F9">
        <w:tc>
          <w:tcPr>
            <w:tcW w:w="3070" w:type="dxa"/>
            <w:tcBorders>
              <w:left w:val="nil"/>
              <w:bottom w:val="nil"/>
            </w:tcBorders>
            <w:vAlign w:val="center"/>
          </w:tcPr>
          <w:p w:rsidR="00DA746F" w:rsidRPr="00795821" w:rsidRDefault="00DA746F" w:rsidP="00795821">
            <w:pPr>
              <w:spacing w:before="360" w:after="3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A746F" w:rsidRPr="00795821" w:rsidRDefault="00C07D91" w:rsidP="00795821">
            <w:pPr>
              <w:spacing w:before="360" w:after="3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1">
              <w:rPr>
                <w:rFonts w:ascii="Times New Roman" w:hAnsi="Times New Roman" w:cs="Times New Roman"/>
                <w:sz w:val="24"/>
                <w:szCs w:val="24"/>
              </w:rPr>
              <w:t>orra és füle becsukható, a homokviharok elleni védekezésként</w:t>
            </w:r>
          </w:p>
        </w:tc>
        <w:tc>
          <w:tcPr>
            <w:tcW w:w="3071" w:type="dxa"/>
            <w:vAlign w:val="center"/>
          </w:tcPr>
          <w:p w:rsidR="00DA746F" w:rsidRPr="00795821" w:rsidRDefault="007F7440" w:rsidP="00795821">
            <w:pPr>
              <w:spacing w:before="360" w:after="3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általában szelíd, de rúgni és köpni szokott, ha felidegesítik</w:t>
            </w:r>
          </w:p>
        </w:tc>
      </w:tr>
    </w:tbl>
    <w:p w:rsidR="0073057B" w:rsidRDefault="0073057B">
      <w:pPr>
        <w:rPr>
          <w:rFonts w:ascii="Times New Roman" w:hAnsi="Times New Roman" w:cs="Times New Roman"/>
          <w:sz w:val="24"/>
          <w:szCs w:val="24"/>
        </w:rPr>
      </w:pPr>
    </w:p>
    <w:p w:rsidR="00614E61" w:rsidRPr="00614E61" w:rsidRDefault="006467F9" w:rsidP="00614E61">
      <w:pPr>
        <w:rPr>
          <w:rFonts w:ascii="Times New Roman" w:hAnsi="Times New Roman" w:cs="Times New Roman"/>
          <w:b/>
          <w:sz w:val="24"/>
          <w:szCs w:val="24"/>
        </w:rPr>
      </w:pPr>
      <w:r w:rsidRPr="00614E6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14E61" w:rsidRPr="00614E61">
        <w:rPr>
          <w:rFonts w:ascii="Times New Roman" w:hAnsi="Times New Roman" w:cs="Times New Roman"/>
          <w:b/>
          <w:sz w:val="24"/>
          <w:szCs w:val="24"/>
        </w:rPr>
        <w:t>Testbetűk</w:t>
      </w:r>
    </w:p>
    <w:p w:rsidR="00614E61" w:rsidRDefault="00614E61" w:rsidP="0061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négyfős csoportok testükkel betűket formázva „írják le” a teve szót. A csoportok esetleg összefoghatnak egymással a feladat megoldására, de minden tanulónak legyen lehetősége részt venni a szóalkotásban.</w:t>
      </w:r>
    </w:p>
    <w:p w:rsidR="00795821" w:rsidRDefault="00795821" w:rsidP="00614E61">
      <w:pPr>
        <w:rPr>
          <w:rFonts w:ascii="Times New Roman" w:hAnsi="Times New Roman" w:cs="Times New Roman"/>
          <w:sz w:val="24"/>
          <w:szCs w:val="24"/>
        </w:rPr>
      </w:pPr>
    </w:p>
    <w:p w:rsidR="00614E61" w:rsidRPr="00614E61" w:rsidRDefault="00614E61" w:rsidP="00614E61">
      <w:pPr>
        <w:rPr>
          <w:rFonts w:ascii="Times New Roman" w:hAnsi="Times New Roman" w:cs="Times New Roman"/>
          <w:b/>
          <w:sz w:val="24"/>
          <w:szCs w:val="24"/>
        </w:rPr>
      </w:pPr>
      <w:r w:rsidRPr="00614E61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614E61">
        <w:rPr>
          <w:rFonts w:ascii="Times New Roman" w:hAnsi="Times New Roman" w:cs="Times New Roman"/>
          <w:b/>
          <w:sz w:val="24"/>
          <w:szCs w:val="24"/>
        </w:rPr>
        <w:t>Inczéd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  <w:r w:rsidRPr="00614E61">
        <w:rPr>
          <w:rFonts w:ascii="Times New Roman" w:hAnsi="Times New Roman" w:cs="Times New Roman"/>
          <w:b/>
          <w:sz w:val="24"/>
          <w:szCs w:val="24"/>
        </w:rPr>
        <w:t xml:space="preserve"> Tamás: A mérges teve című írásának elolvasása </w:t>
      </w:r>
    </w:p>
    <w:p w:rsidR="00614E61" w:rsidRDefault="00614E61" w:rsidP="0061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45. szám 22-23. oldal</w:t>
      </w:r>
    </w:p>
    <w:p w:rsidR="00795821" w:rsidRDefault="00795821" w:rsidP="00DC0694">
      <w:pPr>
        <w:rPr>
          <w:rFonts w:ascii="Times New Roman" w:hAnsi="Times New Roman" w:cs="Times New Roman"/>
          <w:b/>
          <w:sz w:val="24"/>
          <w:szCs w:val="24"/>
        </w:rPr>
      </w:pPr>
    </w:p>
    <w:p w:rsidR="00614E61" w:rsidRPr="00DC0694" w:rsidRDefault="00DC0694" w:rsidP="00DC0694">
      <w:pPr>
        <w:rPr>
          <w:rFonts w:ascii="Times New Roman" w:hAnsi="Times New Roman" w:cs="Times New Roman"/>
          <w:b/>
          <w:sz w:val="24"/>
          <w:szCs w:val="24"/>
        </w:rPr>
      </w:pPr>
      <w:r w:rsidRPr="00DC0694">
        <w:rPr>
          <w:rFonts w:ascii="Times New Roman" w:hAnsi="Times New Roman" w:cs="Times New Roman"/>
          <w:b/>
          <w:sz w:val="24"/>
          <w:szCs w:val="24"/>
        </w:rPr>
        <w:t>6. Tulajdonságlista</w:t>
      </w:r>
    </w:p>
    <w:p w:rsidR="00DC0694" w:rsidRDefault="00995A7A" w:rsidP="00995A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csoport kap egy tulajdonságlistát. Keressék ki a felsorolt tulajdonságok közül, melyek illenek a mérges tervére és melyek a kislányra! Nem minden tulajdonságok kell felhasználni.</w:t>
      </w:r>
    </w:p>
    <w:p w:rsidR="00795821" w:rsidRDefault="00995A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Csoportforgóval beszéljük meg a megoldásokat.</w:t>
      </w:r>
      <w:r w:rsidR="0079582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3057B" w:rsidRPr="00995A7A" w:rsidTr="003A69E1">
        <w:tc>
          <w:tcPr>
            <w:tcW w:w="9212" w:type="dxa"/>
            <w:gridSpan w:val="2"/>
          </w:tcPr>
          <w:p w:rsidR="0073057B" w:rsidRPr="00995A7A" w:rsidRDefault="00795821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="0073057B" w:rsidRPr="00995A7A">
              <w:rPr>
                <w:rFonts w:ascii="Times New Roman" w:hAnsi="Times New Roman" w:cs="Times New Roman"/>
                <w:sz w:val="24"/>
                <w:szCs w:val="24"/>
              </w:rPr>
              <w:t>ulajdonságlista</w:t>
            </w:r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alapos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béketűrő</w:t>
            </w:r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bőbeszédű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civakodó</w:t>
            </w:r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durva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együttérző</w:t>
            </w:r>
            <w:proofErr w:type="spellEnd"/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elutasító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érdeklődő</w:t>
            </w:r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félénk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felületes</w:t>
            </w:r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gúnyos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hallgatag</w:t>
            </w:r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határozott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hátráltató</w:t>
            </w:r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igazságos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igazságtalan</w:t>
            </w:r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jó modorú (kedves)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jó szándékú</w:t>
            </w:r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közönyös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megértő</w:t>
            </w:r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megfontolt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meggondolatlan</w:t>
            </w:r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modortalan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nyílt</w:t>
            </w:r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rosszindulatú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segítőkész</w:t>
            </w:r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szelíd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szókimondó</w:t>
            </w:r>
          </w:p>
        </w:tc>
      </w:tr>
      <w:tr w:rsidR="0073057B" w:rsidRPr="00995A7A" w:rsidTr="003A69E1"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szűkszavú</w:t>
            </w:r>
          </w:p>
        </w:tc>
        <w:tc>
          <w:tcPr>
            <w:tcW w:w="4606" w:type="dxa"/>
          </w:tcPr>
          <w:p w:rsidR="0073057B" w:rsidRPr="00995A7A" w:rsidRDefault="0073057B" w:rsidP="0099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7A">
              <w:rPr>
                <w:rFonts w:ascii="Times New Roman" w:hAnsi="Times New Roman" w:cs="Times New Roman"/>
                <w:sz w:val="24"/>
                <w:szCs w:val="24"/>
              </w:rPr>
              <w:t>zárkózott</w:t>
            </w:r>
          </w:p>
        </w:tc>
      </w:tr>
    </w:tbl>
    <w:p w:rsidR="0073057B" w:rsidRPr="00287575" w:rsidRDefault="0073057B" w:rsidP="00FA5AA0">
      <w:pPr>
        <w:rPr>
          <w:rFonts w:ascii="Times New Roman" w:hAnsi="Times New Roman" w:cs="Times New Roman"/>
          <w:sz w:val="24"/>
          <w:szCs w:val="24"/>
        </w:rPr>
      </w:pPr>
    </w:p>
    <w:p w:rsidR="00417F3B" w:rsidRPr="008F0DF4" w:rsidRDefault="008F0DF4" w:rsidP="008F0DF4">
      <w:pPr>
        <w:rPr>
          <w:rFonts w:ascii="Times New Roman" w:hAnsi="Times New Roman" w:cs="Times New Roman"/>
          <w:b/>
          <w:sz w:val="24"/>
          <w:szCs w:val="24"/>
        </w:rPr>
      </w:pPr>
      <w:r w:rsidRPr="008F0DF4">
        <w:rPr>
          <w:rFonts w:ascii="Times New Roman" w:hAnsi="Times New Roman" w:cs="Times New Roman"/>
          <w:b/>
          <w:sz w:val="24"/>
          <w:szCs w:val="24"/>
        </w:rPr>
        <w:t>7. Történet más-más szemszögből</w:t>
      </w:r>
    </w:p>
    <w:p w:rsidR="008F0DF4" w:rsidRDefault="008F0DF4" w:rsidP="008F0DF4">
      <w:pPr>
        <w:rPr>
          <w:rFonts w:ascii="Times New Roman" w:hAnsi="Times New Roman" w:cs="Times New Roman"/>
          <w:sz w:val="24"/>
          <w:szCs w:val="24"/>
        </w:rPr>
      </w:pPr>
      <w:r w:rsidRPr="008F0DF4">
        <w:rPr>
          <w:rFonts w:ascii="Times New Roman" w:hAnsi="Times New Roman" w:cs="Times New Roman"/>
          <w:sz w:val="24"/>
          <w:szCs w:val="24"/>
        </w:rPr>
        <w:t xml:space="preserve">Két-két csoport ugyanazt a feladatot kapja. </w:t>
      </w:r>
      <w:r>
        <w:rPr>
          <w:rFonts w:ascii="Times New Roman" w:hAnsi="Times New Roman" w:cs="Times New Roman"/>
          <w:sz w:val="24"/>
          <w:szCs w:val="24"/>
        </w:rPr>
        <w:t>Beszéljék meg, m</w:t>
      </w:r>
      <w:r w:rsidRPr="008F0DF4">
        <w:rPr>
          <w:rFonts w:ascii="Times New Roman" w:hAnsi="Times New Roman" w:cs="Times New Roman"/>
          <w:sz w:val="24"/>
          <w:szCs w:val="24"/>
        </w:rPr>
        <w:t>it „látott” a történtekből az oázis, a karaván vezetője, az ostor és a repülőgép pilótája?</w:t>
      </w:r>
    </w:p>
    <w:p w:rsidR="00795821" w:rsidRDefault="00795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csoportok (az azonos feladatot kapók egymás után) bemutatják a megoldásokat.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5821" w:rsidRPr="00795821" w:rsidRDefault="00795821" w:rsidP="008F0DF4">
      <w:pPr>
        <w:rPr>
          <w:rFonts w:ascii="Times New Roman" w:hAnsi="Times New Roman" w:cs="Times New Roman"/>
          <w:b/>
          <w:sz w:val="24"/>
          <w:szCs w:val="24"/>
        </w:rPr>
      </w:pPr>
      <w:r w:rsidRPr="00795821">
        <w:rPr>
          <w:rFonts w:ascii="Times New Roman" w:hAnsi="Times New Roman" w:cs="Times New Roman"/>
          <w:b/>
          <w:sz w:val="24"/>
          <w:szCs w:val="24"/>
        </w:rPr>
        <w:lastRenderedPageBreak/>
        <w:t>8. Szerepjáték</w:t>
      </w:r>
    </w:p>
    <w:p w:rsidR="008F0DF4" w:rsidRPr="008F0DF4" w:rsidRDefault="008F0DF4" w:rsidP="008F0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Minden csoport készüljön fel egy szerepjátékra: Miről beszélgetett a kislány és a második teve? </w:t>
      </w:r>
      <w:r w:rsidR="002145DF">
        <w:rPr>
          <w:rFonts w:ascii="Times New Roman" w:hAnsi="Times New Roman" w:cs="Times New Roman"/>
          <w:sz w:val="24"/>
          <w:szCs w:val="24"/>
        </w:rPr>
        <w:t xml:space="preserve">Minden csoporttagnak legyen feladata. </w:t>
      </w:r>
    </w:p>
    <w:p w:rsidR="00795821" w:rsidRDefault="00795821" w:rsidP="00795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csoportok bemutatják a megoldásokat.</w:t>
      </w:r>
    </w:p>
    <w:p w:rsidR="00417F3B" w:rsidRDefault="00417F3B" w:rsidP="00417F3B"/>
    <w:sectPr w:rsidR="00417F3B" w:rsidSect="0011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92" w:rsidRDefault="00387692" w:rsidP="00795821">
      <w:pPr>
        <w:spacing w:before="0" w:line="240" w:lineRule="auto"/>
      </w:pPr>
      <w:r>
        <w:separator/>
      </w:r>
    </w:p>
  </w:endnote>
  <w:endnote w:type="continuationSeparator" w:id="0">
    <w:p w:rsidR="00387692" w:rsidRDefault="00387692" w:rsidP="0079582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92" w:rsidRDefault="00387692" w:rsidP="00795821">
      <w:pPr>
        <w:spacing w:before="0" w:line="240" w:lineRule="auto"/>
      </w:pPr>
      <w:r>
        <w:separator/>
      </w:r>
    </w:p>
  </w:footnote>
  <w:footnote w:type="continuationSeparator" w:id="0">
    <w:p w:rsidR="00387692" w:rsidRDefault="00387692" w:rsidP="0079582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ACD"/>
    <w:multiLevelType w:val="hybridMultilevel"/>
    <w:tmpl w:val="BB9E23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05BCF"/>
    <w:multiLevelType w:val="multilevel"/>
    <w:tmpl w:val="B128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04F75"/>
    <w:multiLevelType w:val="hybridMultilevel"/>
    <w:tmpl w:val="DA2AFA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F3B"/>
    <w:rsid w:val="00074078"/>
    <w:rsid w:val="00111D24"/>
    <w:rsid w:val="001310EE"/>
    <w:rsid w:val="00131B8D"/>
    <w:rsid w:val="0017792E"/>
    <w:rsid w:val="00183D0A"/>
    <w:rsid w:val="001C7DC7"/>
    <w:rsid w:val="002145DF"/>
    <w:rsid w:val="00240E49"/>
    <w:rsid w:val="0027344E"/>
    <w:rsid w:val="00281A49"/>
    <w:rsid w:val="00287575"/>
    <w:rsid w:val="00332BE8"/>
    <w:rsid w:val="00383286"/>
    <w:rsid w:val="00387692"/>
    <w:rsid w:val="003E47D7"/>
    <w:rsid w:val="00417F3B"/>
    <w:rsid w:val="004A6017"/>
    <w:rsid w:val="004C3ED3"/>
    <w:rsid w:val="004E5C3A"/>
    <w:rsid w:val="0058051B"/>
    <w:rsid w:val="00580651"/>
    <w:rsid w:val="00614E61"/>
    <w:rsid w:val="006467F9"/>
    <w:rsid w:val="00650616"/>
    <w:rsid w:val="006C75DE"/>
    <w:rsid w:val="0073057B"/>
    <w:rsid w:val="00795821"/>
    <w:rsid w:val="007F4163"/>
    <w:rsid w:val="007F7440"/>
    <w:rsid w:val="00807187"/>
    <w:rsid w:val="00854934"/>
    <w:rsid w:val="008564B8"/>
    <w:rsid w:val="008B081F"/>
    <w:rsid w:val="008D3B16"/>
    <w:rsid w:val="008E2DFA"/>
    <w:rsid w:val="008F0DF4"/>
    <w:rsid w:val="00995A7A"/>
    <w:rsid w:val="00A80AEF"/>
    <w:rsid w:val="00AF1837"/>
    <w:rsid w:val="00B06EE6"/>
    <w:rsid w:val="00C047A2"/>
    <w:rsid w:val="00C07D91"/>
    <w:rsid w:val="00C32600"/>
    <w:rsid w:val="00C34DD9"/>
    <w:rsid w:val="00C366CA"/>
    <w:rsid w:val="00C62610"/>
    <w:rsid w:val="00C96E4E"/>
    <w:rsid w:val="00D16D14"/>
    <w:rsid w:val="00D2705A"/>
    <w:rsid w:val="00DA746F"/>
    <w:rsid w:val="00DC0694"/>
    <w:rsid w:val="00DC42BD"/>
    <w:rsid w:val="00E63565"/>
    <w:rsid w:val="00F84353"/>
    <w:rsid w:val="00FA5AA0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7F3B"/>
  </w:style>
  <w:style w:type="paragraph" w:styleId="Cmsor1">
    <w:name w:val="heading 1"/>
    <w:basedOn w:val="Norml"/>
    <w:next w:val="Norml"/>
    <w:link w:val="Cmsor1Char"/>
    <w:uiPriority w:val="9"/>
    <w:qFormat/>
    <w:rsid w:val="00177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7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779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779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1779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1779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1779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1779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7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177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1779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1779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1779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1779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incstrkz">
    <w:name w:val="No Spacing"/>
    <w:uiPriority w:val="1"/>
    <w:qFormat/>
    <w:rsid w:val="0017792E"/>
    <w:pPr>
      <w:spacing w:line="240" w:lineRule="auto"/>
    </w:pPr>
  </w:style>
  <w:style w:type="paragraph" w:styleId="Listaszerbekezds">
    <w:name w:val="List Paragraph"/>
    <w:basedOn w:val="Norml"/>
    <w:uiPriority w:val="34"/>
    <w:qFormat/>
    <w:rsid w:val="00417F3B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417F3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E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E47D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79582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95821"/>
  </w:style>
  <w:style w:type="paragraph" w:styleId="llb">
    <w:name w:val="footer"/>
    <w:basedOn w:val="Norml"/>
    <w:link w:val="llbChar"/>
    <w:uiPriority w:val="99"/>
    <w:semiHidden/>
    <w:unhideWhenUsed/>
    <w:rsid w:val="0079582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95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8448-C6AD-4A8F-95D9-4267EC3A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428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 d</dc:creator>
  <cp:lastModifiedBy>MLTP 12 - Kálmán</cp:lastModifiedBy>
  <cp:revision>9</cp:revision>
  <dcterms:created xsi:type="dcterms:W3CDTF">2019-03-15T15:12:00Z</dcterms:created>
  <dcterms:modified xsi:type="dcterms:W3CDTF">2019-03-25T17:24:00Z</dcterms:modified>
</cp:coreProperties>
</file>